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1E4A" w14:textId="15AF924A" w:rsidR="00EA4CED" w:rsidRPr="008D3E8B" w:rsidRDefault="00B43CAF" w:rsidP="00EA4CED">
      <w:pPr>
        <w:tabs>
          <w:tab w:val="left" w:pos="426"/>
        </w:tabs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8BD85F" wp14:editId="0B56F8D3">
            <wp:simplePos x="0" y="0"/>
            <wp:positionH relativeFrom="page">
              <wp:align>center</wp:align>
            </wp:positionH>
            <wp:positionV relativeFrom="paragraph">
              <wp:posOffset>-291911</wp:posOffset>
            </wp:positionV>
            <wp:extent cx="6961639" cy="9801225"/>
            <wp:effectExtent l="0" t="0" r="0" b="0"/>
            <wp:wrapNone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1639" cy="980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CED">
        <w:rPr>
          <w:rFonts w:ascii="Calibri" w:hAnsi="Calibri" w:cs="Calibri"/>
          <w:b/>
          <w:sz w:val="22"/>
          <w:szCs w:val="22"/>
          <w:u w:val="single"/>
        </w:rPr>
        <w:br w:type="page"/>
      </w:r>
      <w:r w:rsidR="00EA4CED">
        <w:rPr>
          <w:rFonts w:ascii="Calibri" w:hAnsi="Calibri" w:cs="Calibri"/>
          <w:b/>
          <w:sz w:val="22"/>
          <w:szCs w:val="22"/>
          <w:u w:val="single"/>
        </w:rPr>
        <w:lastRenderedPageBreak/>
        <w:t xml:space="preserve">SO 401 </w:t>
      </w:r>
      <w:r w:rsidR="00EA4CED" w:rsidRPr="008D3E8B">
        <w:rPr>
          <w:rFonts w:ascii="Calibri" w:hAnsi="Calibri" w:cs="Calibri"/>
          <w:b/>
          <w:sz w:val="22"/>
          <w:szCs w:val="22"/>
          <w:u w:val="single"/>
        </w:rPr>
        <w:t>VEŘEJNÉ OSVĚTLENÍ</w:t>
      </w:r>
    </w:p>
    <w:p w14:paraId="2041D753" w14:textId="77777777" w:rsidR="00EA4CED" w:rsidRPr="008D3E8B" w:rsidRDefault="00EA4CED" w:rsidP="00EA4CED">
      <w:pPr>
        <w:tabs>
          <w:tab w:val="left" w:pos="426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8EE47D9" w14:textId="77777777" w:rsidR="00EA4CED" w:rsidRPr="008D3E8B" w:rsidRDefault="00EA4CED" w:rsidP="00EA4CED">
      <w:pPr>
        <w:numPr>
          <w:ilvl w:val="0"/>
          <w:numId w:val="2"/>
        </w:numPr>
        <w:tabs>
          <w:tab w:val="num" w:pos="426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>stručný stavebně technický popis celého zařízení</w:t>
      </w:r>
    </w:p>
    <w:p w14:paraId="08470842" w14:textId="77777777" w:rsidR="00EA4CED" w:rsidRPr="008D3E8B" w:rsidRDefault="00EA4CED" w:rsidP="00EA4CED">
      <w:pPr>
        <w:ind w:firstLine="426"/>
        <w:jc w:val="both"/>
        <w:rPr>
          <w:rFonts w:ascii="Calibri" w:hAnsi="Calibri" w:cs="Calibri"/>
          <w:sz w:val="22"/>
          <w:szCs w:val="22"/>
        </w:rPr>
      </w:pPr>
    </w:p>
    <w:p w14:paraId="281476D6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Předmětem projektu je doplnění </w:t>
      </w:r>
      <w:r>
        <w:rPr>
          <w:rFonts w:ascii="Calibri" w:hAnsi="Calibri" w:cs="Calibri"/>
          <w:sz w:val="22"/>
          <w:szCs w:val="22"/>
        </w:rPr>
        <w:t xml:space="preserve">veřejného </w:t>
      </w:r>
      <w:r w:rsidRPr="008D3E8B">
        <w:rPr>
          <w:rFonts w:ascii="Calibri" w:hAnsi="Calibri" w:cs="Calibri"/>
          <w:sz w:val="22"/>
          <w:szCs w:val="22"/>
        </w:rPr>
        <w:t xml:space="preserve">osvětlení nového parkoviště u školy na ul. V Zálomu. </w:t>
      </w:r>
    </w:p>
    <w:p w14:paraId="341FC5B0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Nový stožár VO bude umístěn 1 m od obruby v prodloužení osy dělící čáry vodorovného dopravního značení (VDZ) mezi dvěma parkovacími místy. Umístění je za hranou mírného svahu mezi parkovištěm a ostatní navazující plochou (viz vzorový řez základu stožáru). </w:t>
      </w:r>
      <w:r w:rsidRPr="008D3E8B">
        <w:rPr>
          <w:rFonts w:ascii="Calibri" w:hAnsi="Calibri" w:cs="Calibri"/>
          <w:sz w:val="22"/>
          <w:szCs w:val="22"/>
        </w:rPr>
        <w:t xml:space="preserve">Provedení základu </w:t>
      </w:r>
      <w:r>
        <w:rPr>
          <w:rFonts w:ascii="Calibri" w:hAnsi="Calibri" w:cs="Calibri"/>
          <w:sz w:val="22"/>
          <w:szCs w:val="22"/>
        </w:rPr>
        <w:t xml:space="preserve">v souladu se vzorovým řezem v příloze 5.4.13 ZTKP. Minimálně požadované </w:t>
      </w:r>
      <w:r w:rsidRPr="008D3E8B">
        <w:rPr>
          <w:rFonts w:ascii="Calibri" w:hAnsi="Calibri" w:cs="Calibri"/>
          <w:sz w:val="22"/>
          <w:szCs w:val="22"/>
        </w:rPr>
        <w:t xml:space="preserve">parametry stožáru </w:t>
      </w:r>
      <w:r>
        <w:rPr>
          <w:rFonts w:ascii="Calibri" w:hAnsi="Calibri" w:cs="Calibri"/>
          <w:sz w:val="22"/>
          <w:szCs w:val="22"/>
        </w:rPr>
        <w:t xml:space="preserve">podle </w:t>
      </w:r>
      <w:r w:rsidRPr="008D3E8B">
        <w:rPr>
          <w:rFonts w:ascii="Calibri" w:hAnsi="Calibri" w:cs="Calibri"/>
          <w:sz w:val="22"/>
          <w:szCs w:val="22"/>
        </w:rPr>
        <w:t>přílohy 5.4.1. ZTKP.</w:t>
      </w:r>
    </w:p>
    <w:p w14:paraId="41EFB187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Místo napojení je ve stávajícím sadovém stožáru</w:t>
      </w:r>
      <w:r w:rsidRPr="008D3E8B">
        <w:rPr>
          <w:rFonts w:ascii="Calibri" w:hAnsi="Calibri" w:cs="Calibri"/>
          <w:sz w:val="22"/>
          <w:szCs w:val="22"/>
        </w:rPr>
        <w:t xml:space="preserve"> č. 16</w:t>
      </w:r>
      <w:r>
        <w:rPr>
          <w:rFonts w:ascii="Calibri" w:hAnsi="Calibri" w:cs="Calibri"/>
          <w:sz w:val="22"/>
          <w:szCs w:val="22"/>
        </w:rPr>
        <w:t>, kde</w:t>
      </w:r>
      <w:r w:rsidRPr="008D3E8B">
        <w:rPr>
          <w:rFonts w:ascii="Calibri" w:hAnsi="Calibri" w:cs="Calibri"/>
          <w:sz w:val="22"/>
          <w:szCs w:val="22"/>
        </w:rPr>
        <w:t xml:space="preserve"> se odbourá nadzemní betonová hlavice</w:t>
      </w:r>
      <w:r>
        <w:rPr>
          <w:rFonts w:ascii="Calibri" w:hAnsi="Calibri" w:cs="Calibri"/>
          <w:sz w:val="22"/>
          <w:szCs w:val="22"/>
        </w:rPr>
        <w:t xml:space="preserve"> základové patky</w:t>
      </w:r>
      <w:r w:rsidRPr="008D3E8B">
        <w:rPr>
          <w:rFonts w:ascii="Calibri" w:hAnsi="Calibri" w:cs="Calibri"/>
          <w:sz w:val="22"/>
          <w:szCs w:val="22"/>
        </w:rPr>
        <w:t>, odkope stožárové pouzdro tak, aby bylo možné zatáhnout nový kabel VO</w:t>
      </w:r>
      <w:r>
        <w:rPr>
          <w:rFonts w:ascii="Calibri" w:hAnsi="Calibri" w:cs="Calibri"/>
          <w:sz w:val="22"/>
          <w:szCs w:val="22"/>
        </w:rPr>
        <w:t xml:space="preserve"> CYKY-J 4x10</w:t>
      </w:r>
      <w:r w:rsidRPr="008D3E8B">
        <w:rPr>
          <w:rFonts w:ascii="Calibri" w:hAnsi="Calibri" w:cs="Calibri"/>
          <w:sz w:val="22"/>
          <w:szCs w:val="22"/>
        </w:rPr>
        <w:t xml:space="preserve"> v ohebné trubce DN 32 do stávajícího stožáru. Poté se vše uvede do původního stavu.</w:t>
      </w:r>
    </w:p>
    <w:p w14:paraId="237A518D" w14:textId="77777777" w:rsidR="00EA4CED" w:rsidRPr="008D3E8B" w:rsidRDefault="00EA4CED" w:rsidP="00EA4CED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Kabel rozvodu VO CYKY-J 4x1</w:t>
      </w:r>
      <w:r>
        <w:rPr>
          <w:rFonts w:ascii="Calibri" w:hAnsi="Calibri" w:cs="Calibri"/>
          <w:sz w:val="22"/>
          <w:szCs w:val="22"/>
        </w:rPr>
        <w:t>0 se</w:t>
      </w:r>
      <w:r w:rsidRPr="008D3E8B">
        <w:rPr>
          <w:rFonts w:ascii="Calibri" w:hAnsi="Calibri" w:cs="Calibri"/>
          <w:sz w:val="22"/>
          <w:szCs w:val="22"/>
        </w:rPr>
        <w:t xml:space="preserve"> uloží do </w:t>
      </w:r>
      <w:r>
        <w:rPr>
          <w:rFonts w:ascii="Calibri" w:hAnsi="Calibri" w:cs="Calibri"/>
          <w:sz w:val="22"/>
          <w:szCs w:val="22"/>
        </w:rPr>
        <w:t>kabelové rýhy 35/60 cm přes nový chodník a podél obruby parkoviště do nového stožáru č. 16/1.</w:t>
      </w:r>
    </w:p>
    <w:p w14:paraId="269748F8" w14:textId="77777777" w:rsidR="00EA4CED" w:rsidRPr="008D3E8B" w:rsidRDefault="00EA4CED" w:rsidP="00EA4CED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Na dně výkopu v rostlé zemině bude uložen kruhový zemnič </w:t>
      </w:r>
      <w:proofErr w:type="spellStart"/>
      <w:r w:rsidRPr="008D3E8B">
        <w:rPr>
          <w:rFonts w:ascii="Calibri" w:hAnsi="Calibri" w:cs="Calibri"/>
          <w:sz w:val="22"/>
          <w:szCs w:val="22"/>
        </w:rPr>
        <w:t>FeZn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Ø 10 mm, který se napojí na stávající uzemňovací vedení u stožáru č. 16. </w:t>
      </w:r>
    </w:p>
    <w:p w14:paraId="14D71528" w14:textId="77777777" w:rsidR="00EA4CED" w:rsidRPr="008D3E8B" w:rsidRDefault="00EA4CED" w:rsidP="00EA4C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 </w:t>
      </w:r>
    </w:p>
    <w:p w14:paraId="1A5368D0" w14:textId="77777777" w:rsidR="00EA4CED" w:rsidRPr="008D3E8B" w:rsidRDefault="00EA4CED" w:rsidP="00EA4CED">
      <w:pPr>
        <w:numPr>
          <w:ilvl w:val="0"/>
          <w:numId w:val="2"/>
        </w:numPr>
        <w:tabs>
          <w:tab w:val="clear" w:pos="502"/>
          <w:tab w:val="num" w:pos="426"/>
        </w:tabs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 xml:space="preserve">požadavky na vybavení </w:t>
      </w:r>
    </w:p>
    <w:p w14:paraId="0CE8BFC5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</w:p>
    <w:p w14:paraId="581191A0" w14:textId="77777777" w:rsidR="00EA4CED" w:rsidRPr="008D3E8B" w:rsidRDefault="00EA4CED" w:rsidP="00EA4CED">
      <w:pPr>
        <w:keepNext/>
        <w:spacing w:after="240"/>
        <w:jc w:val="both"/>
        <w:rPr>
          <w:rFonts w:ascii="Calibri" w:hAnsi="Calibri" w:cs="Calibri"/>
          <w:sz w:val="22"/>
          <w:szCs w:val="22"/>
          <w:u w:val="single"/>
        </w:rPr>
      </w:pPr>
      <w:r w:rsidRPr="008D3E8B">
        <w:rPr>
          <w:rFonts w:ascii="Calibri" w:hAnsi="Calibri" w:cs="Calibri"/>
          <w:sz w:val="22"/>
          <w:szCs w:val="22"/>
          <w:u w:val="single"/>
        </w:rPr>
        <w:t>Stožár VO</w:t>
      </w:r>
    </w:p>
    <w:p w14:paraId="350C95A5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Je navržen nový bezpaticový žárově zinkovaný stožár BM 8 s výložníkem V1/2000 a svítidlem LED dle přiloženého výpočtu. </w:t>
      </w:r>
      <w:r>
        <w:rPr>
          <w:rFonts w:ascii="Calibri" w:hAnsi="Calibri" w:cs="Calibri"/>
          <w:sz w:val="22"/>
          <w:szCs w:val="22"/>
        </w:rPr>
        <w:t>Zhotovitel stavby dodá stožár, který bude splňovat parametry výrobku dle přílohy 5.4.1 v ZTKP. P</w:t>
      </w:r>
      <w:r w:rsidRPr="008D3E8B">
        <w:rPr>
          <w:rFonts w:ascii="Calibri" w:hAnsi="Calibri" w:cs="Calibri"/>
          <w:sz w:val="22"/>
          <w:szCs w:val="22"/>
        </w:rPr>
        <w:t xml:space="preserve">rovedení základu stožáru v mírném svahu u parkoviště bude dle vzorového řezu.  </w:t>
      </w:r>
    </w:p>
    <w:p w14:paraId="3ED5B1B5" w14:textId="77777777" w:rsidR="00EA4CED" w:rsidRPr="008D3E8B" w:rsidRDefault="00EA4CED" w:rsidP="00EA4CED">
      <w:pPr>
        <w:keepNext/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Stožár bude</w:t>
      </w:r>
      <w:r>
        <w:rPr>
          <w:rFonts w:ascii="Calibri" w:hAnsi="Calibri" w:cs="Calibri"/>
          <w:sz w:val="22"/>
          <w:szCs w:val="22"/>
        </w:rPr>
        <w:t xml:space="preserve"> dodán v povrchové úpravě oboustranným žárovým zinkem ponorem a po instalaci </w:t>
      </w:r>
      <w:r w:rsidRPr="008D3E8B">
        <w:rPr>
          <w:rFonts w:ascii="Calibri" w:hAnsi="Calibri" w:cs="Calibri"/>
          <w:sz w:val="22"/>
          <w:szCs w:val="22"/>
        </w:rPr>
        <w:t>opatřen šedým nátěrem spodní části do výšky 1,4 m</w:t>
      </w:r>
      <w:r>
        <w:rPr>
          <w:rFonts w:ascii="Calibri" w:hAnsi="Calibri" w:cs="Calibri"/>
          <w:sz w:val="22"/>
          <w:szCs w:val="22"/>
        </w:rPr>
        <w:t>.</w:t>
      </w:r>
      <w:r w:rsidRPr="008D3E8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</w:t>
      </w:r>
      <w:r w:rsidRPr="008D3E8B">
        <w:rPr>
          <w:rFonts w:ascii="Calibri" w:hAnsi="Calibri" w:cs="Calibri"/>
          <w:sz w:val="22"/>
          <w:szCs w:val="22"/>
        </w:rPr>
        <w:t xml:space="preserve">číslování </w:t>
      </w:r>
      <w:r>
        <w:rPr>
          <w:rFonts w:ascii="Calibri" w:hAnsi="Calibri" w:cs="Calibri"/>
          <w:sz w:val="22"/>
          <w:szCs w:val="22"/>
        </w:rPr>
        <w:t>číslem „</w:t>
      </w:r>
      <w:r w:rsidRPr="008D3E8B">
        <w:rPr>
          <w:rFonts w:ascii="Calibri" w:hAnsi="Calibri" w:cs="Calibri"/>
          <w:sz w:val="22"/>
          <w:szCs w:val="22"/>
        </w:rPr>
        <w:t>16/1</w:t>
      </w:r>
      <w:r>
        <w:rPr>
          <w:rFonts w:ascii="Calibri" w:hAnsi="Calibri" w:cs="Calibri"/>
          <w:sz w:val="22"/>
          <w:szCs w:val="22"/>
        </w:rPr>
        <w:t>“</w:t>
      </w:r>
      <w:r w:rsidRPr="008D3E8B">
        <w:rPr>
          <w:rFonts w:ascii="Calibri" w:hAnsi="Calibri" w:cs="Calibri"/>
          <w:sz w:val="22"/>
          <w:szCs w:val="22"/>
        </w:rPr>
        <w:t xml:space="preserve"> barvou černou ve výšce 2,2 m</w:t>
      </w:r>
      <w:r>
        <w:rPr>
          <w:rFonts w:ascii="Calibri" w:hAnsi="Calibri" w:cs="Calibri"/>
          <w:sz w:val="22"/>
          <w:szCs w:val="22"/>
        </w:rPr>
        <w:t>,</w:t>
      </w:r>
      <w:r w:rsidRPr="008D3E8B">
        <w:rPr>
          <w:rFonts w:ascii="Calibri" w:hAnsi="Calibri" w:cs="Calibri"/>
          <w:sz w:val="22"/>
          <w:szCs w:val="22"/>
        </w:rPr>
        <w:t xml:space="preserve"> velikost číslic </w:t>
      </w:r>
      <w:proofErr w:type="gramStart"/>
      <w:r w:rsidRPr="008D3E8B">
        <w:rPr>
          <w:rFonts w:ascii="Calibri" w:hAnsi="Calibri" w:cs="Calibri"/>
          <w:sz w:val="22"/>
          <w:szCs w:val="22"/>
        </w:rPr>
        <w:t>70mm</w:t>
      </w:r>
      <w:proofErr w:type="gramEnd"/>
      <w:r w:rsidRPr="008D3E8B">
        <w:rPr>
          <w:rFonts w:ascii="Calibri" w:hAnsi="Calibri" w:cs="Calibri"/>
          <w:sz w:val="22"/>
          <w:szCs w:val="22"/>
        </w:rPr>
        <w:t xml:space="preserve">, na straně pohledu od parkoviště. </w:t>
      </w:r>
    </w:p>
    <w:p w14:paraId="270F53A2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  <w:u w:val="single"/>
        </w:rPr>
      </w:pPr>
      <w:proofErr w:type="spellStart"/>
      <w:r w:rsidRPr="008D3E8B">
        <w:rPr>
          <w:rFonts w:ascii="Calibri" w:hAnsi="Calibri" w:cs="Calibri"/>
          <w:sz w:val="22"/>
          <w:szCs w:val="22"/>
          <w:u w:val="single"/>
        </w:rPr>
        <w:t>Elektrovýzbroj</w:t>
      </w:r>
      <w:proofErr w:type="spellEnd"/>
    </w:p>
    <w:p w14:paraId="12083064" w14:textId="77777777" w:rsidR="00EA4CED" w:rsidRPr="008D3E8B" w:rsidRDefault="00EA4CED" w:rsidP="00EA4CED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Osazena nová </w:t>
      </w:r>
      <w:proofErr w:type="spellStart"/>
      <w:r w:rsidRPr="008D3E8B">
        <w:rPr>
          <w:rFonts w:ascii="Calibri" w:hAnsi="Calibri" w:cs="Calibri"/>
          <w:sz w:val="22"/>
          <w:szCs w:val="22"/>
        </w:rPr>
        <w:t>elektrovýzbroj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SR 721 s jištěním svítidla PV 10/</w:t>
      </w:r>
      <w:proofErr w:type="gramStart"/>
      <w:r w:rsidRPr="008D3E8B">
        <w:rPr>
          <w:rFonts w:ascii="Calibri" w:hAnsi="Calibri" w:cs="Calibri"/>
          <w:sz w:val="22"/>
          <w:szCs w:val="22"/>
        </w:rPr>
        <w:t>2A</w:t>
      </w:r>
      <w:proofErr w:type="gramEnd"/>
      <w:r w:rsidRPr="008D3E8B">
        <w:rPr>
          <w:rFonts w:ascii="Calibri" w:hAnsi="Calibri" w:cs="Calibri"/>
          <w:sz w:val="22"/>
          <w:szCs w:val="22"/>
        </w:rPr>
        <w:t>/</w:t>
      </w:r>
      <w:proofErr w:type="spellStart"/>
      <w:r w:rsidRPr="008D3E8B">
        <w:rPr>
          <w:rFonts w:ascii="Calibri" w:hAnsi="Calibri" w:cs="Calibri"/>
          <w:sz w:val="22"/>
          <w:szCs w:val="22"/>
        </w:rPr>
        <w:t>gG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. Výzbroj musí umožnit připojení min. 3 ks </w:t>
      </w:r>
      <w:proofErr w:type="spellStart"/>
      <w:r w:rsidRPr="008D3E8B">
        <w:rPr>
          <w:rFonts w:ascii="Calibri" w:hAnsi="Calibri" w:cs="Calibri"/>
          <w:sz w:val="22"/>
          <w:szCs w:val="22"/>
        </w:rPr>
        <w:t>čtyřžilových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Al/</w:t>
      </w:r>
      <w:proofErr w:type="spellStart"/>
      <w:r w:rsidRPr="008D3E8B">
        <w:rPr>
          <w:rFonts w:ascii="Calibri" w:hAnsi="Calibri" w:cs="Calibri"/>
          <w:sz w:val="22"/>
          <w:szCs w:val="22"/>
        </w:rPr>
        <w:t>Cu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kabelů rozvodu VO průřezu do 35 mm2 a propojení neživých částí s ochranným vodičem. </w:t>
      </w:r>
    </w:p>
    <w:p w14:paraId="5F352B31" w14:textId="77777777" w:rsidR="00EA4CED" w:rsidRPr="008D3E8B" w:rsidRDefault="00EA4CED" w:rsidP="00EA4CED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2"/>
          <w:szCs w:val="22"/>
        </w:rPr>
      </w:pPr>
      <w:proofErr w:type="spellStart"/>
      <w:r w:rsidRPr="008D3E8B">
        <w:rPr>
          <w:rFonts w:ascii="Calibri" w:hAnsi="Calibri" w:cs="Calibri"/>
          <w:sz w:val="22"/>
          <w:szCs w:val="22"/>
        </w:rPr>
        <w:t>Elektrovýzbroj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musí mít krytí min. IP2X (při otevřených dvířkách stožárů) a musí zajistit požadované krytí živých částí stožárové rozvodnice při uzavřených dvířkách stožárů dle stanovených vnějších vlivů. Stožárová dvířka označit symbolem výstražného blesku dle ČSN. </w:t>
      </w:r>
    </w:p>
    <w:p w14:paraId="15C6DFDA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  <w:u w:val="single"/>
        </w:rPr>
      </w:pPr>
      <w:r w:rsidRPr="008D3E8B">
        <w:rPr>
          <w:rFonts w:ascii="Calibri" w:hAnsi="Calibri" w:cs="Calibri"/>
          <w:sz w:val="22"/>
          <w:szCs w:val="22"/>
          <w:u w:val="single"/>
        </w:rPr>
        <w:t>Svítidlo</w:t>
      </w:r>
    </w:p>
    <w:p w14:paraId="09867B00" w14:textId="77777777" w:rsidR="00EA4CED" w:rsidRPr="008D3E8B" w:rsidRDefault="00EA4CED" w:rsidP="00EA4CED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6051ED">
        <w:rPr>
          <w:rFonts w:ascii="Calibri" w:hAnsi="Calibri" w:cs="Calibri"/>
          <w:sz w:val="22"/>
          <w:szCs w:val="22"/>
        </w:rPr>
        <w:t xml:space="preserve">Navrženo svítidlo LED </w:t>
      </w:r>
      <w:r w:rsidRPr="006051ED">
        <w:rPr>
          <w:rFonts w:ascii="Calibri" w:hAnsi="Calibri" w:cs="Calibri"/>
          <w:bCs/>
          <w:sz w:val="22"/>
          <w:szCs w:val="22"/>
          <w:lang w:eastAsia="cs-CZ"/>
        </w:rPr>
        <w:t xml:space="preserve">R2L2 S 24L50 EWS L730 CL2 [STD] (!96266005), </w:t>
      </w:r>
      <w:proofErr w:type="gramStart"/>
      <w:r w:rsidRPr="006051ED">
        <w:rPr>
          <w:rFonts w:ascii="Calibri" w:hAnsi="Calibri" w:cs="Calibri"/>
          <w:bCs/>
          <w:sz w:val="22"/>
          <w:szCs w:val="22"/>
          <w:lang w:eastAsia="cs-CZ"/>
        </w:rPr>
        <w:t xml:space="preserve">rozměry </w:t>
      </w:r>
      <w:r w:rsidRPr="006051ED">
        <w:rPr>
          <w:rFonts w:ascii="Calibri" w:hAnsi="Calibri" w:cs="Calibri"/>
          <w:sz w:val="22"/>
          <w:szCs w:val="22"/>
        </w:rPr>
        <w:t xml:space="preserve"> 655</w:t>
      </w:r>
      <w:proofErr w:type="gramEnd"/>
      <w:r w:rsidRPr="006051ED">
        <w:rPr>
          <w:rFonts w:ascii="Calibri" w:hAnsi="Calibri" w:cs="Calibri"/>
          <w:sz w:val="22"/>
          <w:szCs w:val="22"/>
        </w:rPr>
        <w:t xml:space="preserve"> x 362 x 155, 38 W. světelný tok 4970 </w:t>
      </w:r>
      <w:proofErr w:type="spellStart"/>
      <w:r w:rsidRPr="006051ED">
        <w:rPr>
          <w:rFonts w:ascii="Calibri" w:hAnsi="Calibri" w:cs="Calibri"/>
          <w:sz w:val="22"/>
          <w:szCs w:val="22"/>
        </w:rPr>
        <w:t>lm</w:t>
      </w:r>
      <w:proofErr w:type="spellEnd"/>
      <w:r w:rsidRPr="006051ED">
        <w:rPr>
          <w:rFonts w:ascii="Calibri" w:hAnsi="Calibri" w:cs="Calibri"/>
          <w:sz w:val="22"/>
          <w:szCs w:val="22"/>
        </w:rPr>
        <w:t xml:space="preserve">, 3000 K dle přiloženého výpočtu. Připojení svítidla svodovým </w:t>
      </w:r>
      <w:r w:rsidRPr="008D3E8B">
        <w:rPr>
          <w:rFonts w:ascii="Calibri" w:hAnsi="Calibri" w:cs="Calibri"/>
          <w:sz w:val="22"/>
          <w:szCs w:val="22"/>
        </w:rPr>
        <w:t xml:space="preserve">kabelem CYKY-J 3x1,5 z jištění na </w:t>
      </w:r>
      <w:proofErr w:type="spellStart"/>
      <w:r w:rsidRPr="008D3E8B">
        <w:rPr>
          <w:rFonts w:ascii="Calibri" w:hAnsi="Calibri" w:cs="Calibri"/>
          <w:sz w:val="22"/>
          <w:szCs w:val="22"/>
        </w:rPr>
        <w:t>elektrovýzbroji</w:t>
      </w:r>
      <w:proofErr w:type="spellEnd"/>
      <w:r w:rsidRPr="008D3E8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7296973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  <w:u w:val="single"/>
        </w:rPr>
      </w:pPr>
      <w:r w:rsidRPr="008D3E8B">
        <w:rPr>
          <w:rFonts w:ascii="Calibri" w:hAnsi="Calibri" w:cs="Calibri"/>
          <w:sz w:val="22"/>
          <w:szCs w:val="22"/>
          <w:u w:val="single"/>
        </w:rPr>
        <w:t>Uzemnění SM</w:t>
      </w:r>
    </w:p>
    <w:p w14:paraId="5ABF07F7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</w:p>
    <w:p w14:paraId="6DA1687E" w14:textId="77777777" w:rsidR="00EA4CED" w:rsidRPr="008D3E8B" w:rsidRDefault="00EA4CED" w:rsidP="00EA4CED">
      <w:pPr>
        <w:tabs>
          <w:tab w:val="num" w:pos="0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Zemnič </w:t>
      </w:r>
      <w:proofErr w:type="spellStart"/>
      <w:r w:rsidRPr="008D3E8B">
        <w:rPr>
          <w:rFonts w:ascii="Calibri" w:hAnsi="Calibri" w:cs="Calibri"/>
          <w:sz w:val="22"/>
          <w:szCs w:val="22"/>
        </w:rPr>
        <w:t>FeZn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10mm</w:t>
      </w:r>
      <w:r w:rsidRPr="008D3E8B">
        <w:rPr>
          <w:rFonts w:ascii="Calibri" w:hAnsi="Calibri" w:cs="Calibri"/>
          <w:sz w:val="22"/>
          <w:szCs w:val="22"/>
          <w:vertAlign w:val="superscript"/>
        </w:rPr>
        <w:t>2</w:t>
      </w:r>
      <w:r w:rsidRPr="008D3E8B">
        <w:rPr>
          <w:rFonts w:ascii="Calibri" w:hAnsi="Calibri" w:cs="Calibri"/>
          <w:sz w:val="22"/>
          <w:szCs w:val="22"/>
        </w:rPr>
        <w:t xml:space="preserve"> pro přizemnění stožáru a PEN bude uložen do drážky vyhloubené na dně výkopu v rostlé zemině a propojen na stávající uzemňovací vedení u stávajícího stožáru č. 16. Uzemnění stožáru bude sloužit i jako ochrana proti blesku. </w:t>
      </w:r>
    </w:p>
    <w:p w14:paraId="64329AD7" w14:textId="77777777" w:rsidR="00EA4CED" w:rsidRPr="008D3E8B" w:rsidRDefault="00EA4CED" w:rsidP="00EA4CED">
      <w:pPr>
        <w:tabs>
          <w:tab w:val="num" w:pos="0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lastRenderedPageBreak/>
        <w:t>Pasivní ochrana zemniče při průchodu betonem a nad betonovou patkou (prstencem) stožárů plastovou zelenožlutou bužírkou. Propojení zemničů v </w:t>
      </w:r>
      <w:proofErr w:type="gramStart"/>
      <w:r w:rsidRPr="008D3E8B">
        <w:rPr>
          <w:rFonts w:ascii="Calibri" w:hAnsi="Calibri" w:cs="Calibri"/>
          <w:sz w:val="22"/>
          <w:szCs w:val="22"/>
        </w:rPr>
        <w:t xml:space="preserve">zemi </w:t>
      </w:r>
      <w:r>
        <w:rPr>
          <w:rFonts w:ascii="Calibri" w:hAnsi="Calibri" w:cs="Calibri"/>
          <w:sz w:val="22"/>
          <w:szCs w:val="22"/>
        </w:rPr>
        <w:t>,</w:t>
      </w:r>
      <w:proofErr w:type="gramEnd"/>
      <w:r w:rsidRPr="008D3E8B">
        <w:rPr>
          <w:rFonts w:ascii="Calibri" w:hAnsi="Calibri" w:cs="Calibri"/>
          <w:sz w:val="22"/>
          <w:szCs w:val="22"/>
        </w:rPr>
        <w:t xml:space="preserve"> spoje svorkami ošetřeny dle normy. </w:t>
      </w:r>
    </w:p>
    <w:p w14:paraId="046B07B2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1912E61F" w14:textId="77777777" w:rsidR="00EA4CED" w:rsidRPr="008D3E8B" w:rsidRDefault="00EA4CED" w:rsidP="00EA4CED">
      <w:pPr>
        <w:numPr>
          <w:ilvl w:val="0"/>
          <w:numId w:val="2"/>
        </w:numPr>
        <w:tabs>
          <w:tab w:val="clear" w:pos="502"/>
          <w:tab w:val="num" w:pos="426"/>
        </w:tabs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 xml:space="preserve">napojení na stávající technickou infrastrukturu </w:t>
      </w:r>
    </w:p>
    <w:p w14:paraId="0512FE6B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44B70977" w14:textId="77777777" w:rsidR="00EA4CED" w:rsidRPr="008D3E8B" w:rsidRDefault="00EA4CED" w:rsidP="00EA4CED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Jedná se o doplnění jednoho nového světelného místa zapojením do stávajícího rozvodu VO zapínacího bodu RVO 536.</w:t>
      </w:r>
    </w:p>
    <w:p w14:paraId="3CF2F5B8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 </w:t>
      </w:r>
    </w:p>
    <w:p w14:paraId="4FC9655D" w14:textId="77777777" w:rsidR="00EA4CED" w:rsidRPr="008D3E8B" w:rsidRDefault="00EA4CED" w:rsidP="00EA4CED">
      <w:pPr>
        <w:numPr>
          <w:ilvl w:val="0"/>
          <w:numId w:val="2"/>
        </w:numPr>
        <w:tabs>
          <w:tab w:val="clear" w:pos="502"/>
          <w:tab w:val="num" w:pos="0"/>
          <w:tab w:val="num" w:pos="426"/>
        </w:tabs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>údaje o zpracovaných technických výpočtech a jejich důsledcích pro navrhované řešení</w:t>
      </w:r>
    </w:p>
    <w:p w14:paraId="7C429299" w14:textId="77777777" w:rsidR="00EA4CED" w:rsidRPr="008D3E8B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20FEF46A" w14:textId="77777777" w:rsidR="00EA4CED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Návrh je podložen přiloženým světelně-technickým výpočtem </w:t>
      </w:r>
      <w:r>
        <w:rPr>
          <w:rFonts w:ascii="Calibri" w:hAnsi="Calibri" w:cs="Calibri"/>
          <w:sz w:val="22"/>
          <w:szCs w:val="22"/>
        </w:rPr>
        <w:t xml:space="preserve">(THR2110013) </w:t>
      </w:r>
      <w:r w:rsidRPr="008D3E8B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</w:t>
      </w:r>
      <w:r w:rsidRPr="008D3E8B">
        <w:rPr>
          <w:rFonts w:ascii="Calibri" w:hAnsi="Calibri" w:cs="Calibri"/>
          <w:sz w:val="22"/>
          <w:szCs w:val="22"/>
        </w:rPr>
        <w:t>o stanovené zatřídění odstavné plochy do třídy P4.</w:t>
      </w:r>
    </w:p>
    <w:p w14:paraId="6FF351A9" w14:textId="77777777" w:rsidR="00EA4CED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Vypočtené hodnoty intenzity osvětlení parkoviště:</w:t>
      </w:r>
    </w:p>
    <w:p w14:paraId="6490A15A" w14:textId="77777777" w:rsidR="00EA4CED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Em udržovaná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5,2 </w:t>
      </w:r>
      <w:proofErr w:type="spellStart"/>
      <w:r>
        <w:rPr>
          <w:rFonts w:ascii="Calibri" w:hAnsi="Calibri" w:cs="Calibri"/>
          <w:sz w:val="22"/>
          <w:szCs w:val="22"/>
        </w:rPr>
        <w:t>lx</w:t>
      </w:r>
      <w:proofErr w:type="spellEnd"/>
    </w:p>
    <w:p w14:paraId="1B8AD556" w14:textId="77777777" w:rsidR="00EA4CED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Emin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1,2 </w:t>
      </w:r>
      <w:proofErr w:type="spellStart"/>
      <w:r>
        <w:rPr>
          <w:rFonts w:ascii="Calibri" w:hAnsi="Calibri" w:cs="Calibri"/>
          <w:sz w:val="22"/>
          <w:szCs w:val="22"/>
        </w:rPr>
        <w:t>lx</w:t>
      </w:r>
      <w:proofErr w:type="spellEnd"/>
    </w:p>
    <w:p w14:paraId="3826FD57" w14:textId="77777777" w:rsidR="00EA4CED" w:rsidRPr="008D3E8B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Splňuje požadované hodnoty pro zatřídění P4.</w:t>
      </w:r>
    </w:p>
    <w:p w14:paraId="4AD1B5D1" w14:textId="77777777" w:rsidR="00EA4CED" w:rsidRPr="008D3E8B" w:rsidRDefault="00EA4CED" w:rsidP="00EA4CED">
      <w:pPr>
        <w:pStyle w:val="Texttabulky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6A38EA24" w14:textId="77777777" w:rsidR="00EA4CED" w:rsidRPr="008D3E8B" w:rsidRDefault="00EA4CED" w:rsidP="00EA4CED">
      <w:pPr>
        <w:outlineLvl w:val="0"/>
        <w:rPr>
          <w:rFonts w:ascii="Calibri" w:hAnsi="Calibri" w:cs="Calibri"/>
          <w:b/>
          <w:bCs/>
          <w:sz w:val="22"/>
          <w:szCs w:val="22"/>
        </w:rPr>
      </w:pPr>
      <w:r w:rsidRPr="008D3E8B">
        <w:rPr>
          <w:rFonts w:ascii="Calibri" w:hAnsi="Calibri" w:cs="Calibri"/>
          <w:b/>
          <w:bCs/>
          <w:sz w:val="22"/>
          <w:szCs w:val="22"/>
        </w:rPr>
        <w:t>Základní technické a normové údaje</w:t>
      </w:r>
    </w:p>
    <w:p w14:paraId="247B5167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Provozní napětí                              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>3 x 400/</w:t>
      </w:r>
      <w:proofErr w:type="gramStart"/>
      <w:r w:rsidRPr="008D3E8B">
        <w:rPr>
          <w:rFonts w:ascii="Calibri" w:hAnsi="Calibri" w:cs="Calibri"/>
          <w:sz w:val="22"/>
          <w:szCs w:val="22"/>
        </w:rPr>
        <w:t>230V</w:t>
      </w:r>
      <w:proofErr w:type="gramEnd"/>
      <w:r w:rsidRPr="008D3E8B">
        <w:rPr>
          <w:rFonts w:ascii="Calibri" w:hAnsi="Calibri" w:cs="Calibri"/>
          <w:sz w:val="22"/>
          <w:szCs w:val="22"/>
        </w:rPr>
        <w:t> TN-C-S</w:t>
      </w:r>
    </w:p>
    <w:p w14:paraId="29EEAC98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14:paraId="44600455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Určení sítě dle ČSN 33 2000-3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</w:p>
    <w:p w14:paraId="329304CD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- rozvod VO 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3PEN </w:t>
      </w:r>
      <w:proofErr w:type="spellStart"/>
      <w:r w:rsidRPr="008D3E8B">
        <w:rPr>
          <w:rFonts w:ascii="Calibri" w:hAnsi="Calibri" w:cs="Calibri"/>
          <w:sz w:val="22"/>
          <w:szCs w:val="22"/>
        </w:rPr>
        <w:t>stř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Pr="008D3E8B">
        <w:rPr>
          <w:rFonts w:ascii="Calibri" w:hAnsi="Calibri" w:cs="Calibri"/>
          <w:sz w:val="22"/>
          <w:szCs w:val="22"/>
        </w:rPr>
        <w:t>50Hz</w:t>
      </w:r>
      <w:proofErr w:type="gramEnd"/>
      <w:r w:rsidRPr="008D3E8B">
        <w:rPr>
          <w:rFonts w:ascii="Calibri" w:hAnsi="Calibri" w:cs="Calibri"/>
          <w:sz w:val="22"/>
          <w:szCs w:val="22"/>
        </w:rPr>
        <w:t>, 400/230V, TN-C</w:t>
      </w:r>
    </w:p>
    <w:p w14:paraId="4D2BF0BB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- svody ke svítidlům 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1PEN </w:t>
      </w:r>
      <w:proofErr w:type="spellStart"/>
      <w:r w:rsidRPr="008D3E8B">
        <w:rPr>
          <w:rFonts w:ascii="Calibri" w:hAnsi="Calibri" w:cs="Calibri"/>
          <w:sz w:val="22"/>
          <w:szCs w:val="22"/>
        </w:rPr>
        <w:t>stř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Pr="008D3E8B">
        <w:rPr>
          <w:rFonts w:ascii="Calibri" w:hAnsi="Calibri" w:cs="Calibri"/>
          <w:sz w:val="22"/>
          <w:szCs w:val="22"/>
        </w:rPr>
        <w:t>50Hz</w:t>
      </w:r>
      <w:proofErr w:type="gramEnd"/>
      <w:r w:rsidRPr="008D3E8B">
        <w:rPr>
          <w:rFonts w:ascii="Calibri" w:hAnsi="Calibri" w:cs="Calibri"/>
          <w:sz w:val="22"/>
          <w:szCs w:val="22"/>
        </w:rPr>
        <w:t>, 230V, TN-S</w:t>
      </w:r>
    </w:p>
    <w:p w14:paraId="29BF21FB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14:paraId="2487712D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Prostředí z hlediska ČSN 33 2000-3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>nebezpečné (protokol OK, a.s. č. 1/2019)</w:t>
      </w:r>
    </w:p>
    <w:p w14:paraId="7B0DA0C3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14:paraId="54DD5BBD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Minimální krytí el. </w:t>
      </w:r>
      <w:proofErr w:type="gramStart"/>
      <w:r w:rsidRPr="008D3E8B">
        <w:rPr>
          <w:rFonts w:ascii="Calibri" w:hAnsi="Calibri" w:cs="Calibri"/>
          <w:sz w:val="22"/>
          <w:szCs w:val="22"/>
        </w:rPr>
        <w:t xml:space="preserve">předmětů  </w:t>
      </w:r>
      <w:r w:rsidRPr="008D3E8B">
        <w:rPr>
          <w:rFonts w:ascii="Calibri" w:hAnsi="Calibri" w:cs="Calibri"/>
          <w:sz w:val="22"/>
          <w:szCs w:val="22"/>
        </w:rPr>
        <w:tab/>
      </w:r>
      <w:proofErr w:type="gramEnd"/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svítidlo </w:t>
      </w:r>
      <w:r>
        <w:rPr>
          <w:rFonts w:ascii="Calibri" w:hAnsi="Calibri" w:cs="Calibri"/>
          <w:sz w:val="22"/>
          <w:szCs w:val="22"/>
        </w:rPr>
        <w:t>LED</w:t>
      </w:r>
      <w:r w:rsidRPr="008D3E8B">
        <w:rPr>
          <w:rFonts w:ascii="Calibri" w:hAnsi="Calibri" w:cs="Calibri"/>
          <w:sz w:val="22"/>
          <w:szCs w:val="22"/>
        </w:rPr>
        <w:t xml:space="preserve"> - IP 6</w:t>
      </w:r>
      <w:r>
        <w:rPr>
          <w:rFonts w:ascii="Calibri" w:hAnsi="Calibri" w:cs="Calibri"/>
          <w:sz w:val="22"/>
          <w:szCs w:val="22"/>
        </w:rPr>
        <w:t>6, IK08</w:t>
      </w:r>
    </w:p>
    <w:p w14:paraId="4B154816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živé části stožárové </w:t>
      </w:r>
      <w:proofErr w:type="gramStart"/>
      <w:r w:rsidRPr="008D3E8B">
        <w:rPr>
          <w:rFonts w:ascii="Calibri" w:hAnsi="Calibri" w:cs="Calibri"/>
          <w:sz w:val="22"/>
          <w:szCs w:val="22"/>
        </w:rPr>
        <w:t>rozvodnice - IP</w:t>
      </w:r>
      <w:proofErr w:type="gramEnd"/>
      <w:r w:rsidRPr="008D3E8B">
        <w:rPr>
          <w:rFonts w:ascii="Calibri" w:hAnsi="Calibri" w:cs="Calibri"/>
          <w:sz w:val="22"/>
          <w:szCs w:val="22"/>
        </w:rPr>
        <w:t xml:space="preserve"> 43 </w:t>
      </w:r>
    </w:p>
    <w:p w14:paraId="0A7B5973" w14:textId="77777777" w:rsidR="00EA4CED" w:rsidRPr="008D3E8B" w:rsidRDefault="00EA4CED" w:rsidP="00EA4CED">
      <w:pPr>
        <w:pStyle w:val="Zkladntext31"/>
        <w:tabs>
          <w:tab w:val="left" w:pos="0"/>
        </w:tabs>
        <w:spacing w:before="0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>(při uzavřených dvířkách stožárových rozvodnic)</w:t>
      </w:r>
    </w:p>
    <w:p w14:paraId="39234202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stožárová </w:t>
      </w:r>
      <w:proofErr w:type="gramStart"/>
      <w:r w:rsidRPr="008D3E8B">
        <w:rPr>
          <w:rFonts w:ascii="Calibri" w:hAnsi="Calibri" w:cs="Calibri"/>
          <w:sz w:val="22"/>
          <w:szCs w:val="22"/>
        </w:rPr>
        <w:t>rozvodnice - IP2X</w:t>
      </w:r>
      <w:proofErr w:type="gramEnd"/>
      <w:r w:rsidRPr="008D3E8B">
        <w:rPr>
          <w:rFonts w:ascii="Calibri" w:hAnsi="Calibri" w:cs="Calibri"/>
          <w:sz w:val="22"/>
          <w:szCs w:val="22"/>
        </w:rPr>
        <w:t xml:space="preserve"> při otevřených dvířkách</w:t>
      </w:r>
    </w:p>
    <w:p w14:paraId="18A8072B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14:paraId="0127B831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Ochrana před úrazem elektrickým proudem dle ČSN 33 2000-4-41, edice 3:</w:t>
      </w:r>
      <w:r w:rsidRPr="008D3E8B">
        <w:rPr>
          <w:rFonts w:ascii="Calibri" w:hAnsi="Calibri" w:cs="Calibri"/>
          <w:sz w:val="22"/>
          <w:szCs w:val="22"/>
        </w:rPr>
        <w:tab/>
      </w:r>
    </w:p>
    <w:p w14:paraId="6BD1F2C9" w14:textId="77777777" w:rsidR="00EA4CED" w:rsidRPr="008D3E8B" w:rsidRDefault="00EA4CED" w:rsidP="00EA4CED">
      <w:pPr>
        <w:tabs>
          <w:tab w:val="left" w:pos="0"/>
          <w:tab w:val="left" w:pos="567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- normální ochrana (živých částí):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>412.1 - izolací</w:t>
      </w:r>
    </w:p>
    <w:p w14:paraId="705BF1B1" w14:textId="77777777" w:rsidR="00EA4CED" w:rsidRPr="008D3E8B" w:rsidRDefault="00EA4CED" w:rsidP="00EA4CED">
      <w:pPr>
        <w:tabs>
          <w:tab w:val="left" w:pos="0"/>
          <w:tab w:val="left" w:pos="567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>412.2 – krytím</w:t>
      </w:r>
    </w:p>
    <w:p w14:paraId="1254159B" w14:textId="77777777" w:rsidR="00EA4CED" w:rsidRPr="008D3E8B" w:rsidRDefault="00EA4CED" w:rsidP="00EA4CED">
      <w:pPr>
        <w:pStyle w:val="Zkladntext31"/>
        <w:tabs>
          <w:tab w:val="left" w:pos="0"/>
          <w:tab w:val="left" w:pos="567"/>
        </w:tabs>
        <w:spacing w:before="0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- ochrana při poruše (neživých částí): </w:t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413.1 – automatickým odpojením od zdroje </w:t>
      </w:r>
    </w:p>
    <w:p w14:paraId="3ECD89FD" w14:textId="77777777" w:rsidR="00EA4CED" w:rsidRPr="008D3E8B" w:rsidRDefault="00EA4CED" w:rsidP="00EA4CED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</w:r>
      <w:r w:rsidRPr="008D3E8B">
        <w:rPr>
          <w:rFonts w:ascii="Calibri" w:hAnsi="Calibri" w:cs="Calibri"/>
          <w:sz w:val="22"/>
          <w:szCs w:val="22"/>
        </w:rPr>
        <w:tab/>
        <w:t xml:space="preserve"> v souladu s ČSN 33 2000-4-41 edice 3</w:t>
      </w:r>
    </w:p>
    <w:p w14:paraId="6E338EF7" w14:textId="77777777" w:rsidR="00EA4CED" w:rsidRPr="008D3E8B" w:rsidRDefault="00EA4CED" w:rsidP="00EA4CED">
      <w:pPr>
        <w:pStyle w:val="Zkladntextodsazen21"/>
        <w:tabs>
          <w:tab w:val="clear" w:pos="426"/>
          <w:tab w:val="left" w:pos="0"/>
        </w:tabs>
        <w:ind w:left="0"/>
        <w:rPr>
          <w:rFonts w:ascii="Calibri" w:hAnsi="Calibri" w:cs="Calibri"/>
          <w:sz w:val="22"/>
          <w:szCs w:val="22"/>
        </w:rPr>
      </w:pPr>
    </w:p>
    <w:p w14:paraId="4B0094B0" w14:textId="77777777" w:rsidR="00EA4CED" w:rsidRPr="008D3E8B" w:rsidRDefault="00EA4CED" w:rsidP="00EA4CED">
      <w:pPr>
        <w:pStyle w:val="Zkladntextodsazen21"/>
        <w:tabs>
          <w:tab w:val="clear" w:pos="426"/>
          <w:tab w:val="left" w:pos="0"/>
        </w:tabs>
        <w:ind w:left="0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Ochrana před atmosférickým přepětím dle souboru ČSN EN 62305-1 až 5, 33 2000-5-54. U elektrických vedení VO s ocelovými stožáry v terénu je náhodný základový zemnič tvořen podzemní částí ocelového stožáru v betonovém základu. Strojený přídavný zemnič – pozinkovaný zemnící pásek </w:t>
      </w:r>
      <w:proofErr w:type="spellStart"/>
      <w:r w:rsidRPr="008D3E8B">
        <w:rPr>
          <w:rFonts w:ascii="Calibri" w:hAnsi="Calibri" w:cs="Calibri"/>
          <w:sz w:val="22"/>
          <w:szCs w:val="22"/>
        </w:rPr>
        <w:t>FeZn</w:t>
      </w:r>
      <w:proofErr w:type="spellEnd"/>
      <w:r w:rsidRPr="008D3E8B">
        <w:rPr>
          <w:rFonts w:ascii="Calibri" w:hAnsi="Calibri" w:cs="Calibri"/>
          <w:sz w:val="22"/>
          <w:szCs w:val="22"/>
        </w:rPr>
        <w:t xml:space="preserve"> 30/4 nebo drát 10 mm v rostlé zemině výkopové rýhy VO nebo propojení na stávající uzemnění VO.</w:t>
      </w:r>
    </w:p>
    <w:p w14:paraId="7055009F" w14:textId="77777777" w:rsidR="00EA4CED" w:rsidRPr="008D3E8B" w:rsidRDefault="00EA4CED" w:rsidP="00EA4CED">
      <w:pPr>
        <w:ind w:left="2832" w:hanging="2832"/>
        <w:rPr>
          <w:rFonts w:ascii="Calibri" w:hAnsi="Calibri" w:cs="Calibri"/>
          <w:sz w:val="22"/>
          <w:szCs w:val="22"/>
        </w:rPr>
      </w:pPr>
    </w:p>
    <w:p w14:paraId="0805C80E" w14:textId="77777777" w:rsidR="00EA4CED" w:rsidRPr="008D3E8B" w:rsidRDefault="00EA4CED" w:rsidP="00EA4CED">
      <w:pPr>
        <w:ind w:left="2832" w:hanging="2832"/>
        <w:rPr>
          <w:rFonts w:ascii="Calibri" w:hAnsi="Calibri" w:cs="Calibri"/>
          <w:sz w:val="22"/>
          <w:szCs w:val="22"/>
        </w:rPr>
      </w:pPr>
    </w:p>
    <w:p w14:paraId="60D870F7" w14:textId="77777777" w:rsidR="00EA4CED" w:rsidRPr="008D3E8B" w:rsidRDefault="00EA4CED" w:rsidP="00EA4CED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>požadavky na postup stavebních a montážních prací</w:t>
      </w:r>
    </w:p>
    <w:p w14:paraId="6A729031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4812872F" w14:textId="77777777" w:rsidR="00EA4CED" w:rsidRPr="008D3E8B" w:rsidRDefault="00EA4CED" w:rsidP="00EA4CED">
      <w:pPr>
        <w:tabs>
          <w:tab w:val="num" w:pos="0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Zhotovitel </w:t>
      </w:r>
      <w:r>
        <w:rPr>
          <w:rFonts w:ascii="Calibri" w:hAnsi="Calibri" w:cs="Calibri"/>
          <w:sz w:val="22"/>
          <w:szCs w:val="22"/>
        </w:rPr>
        <w:t xml:space="preserve">stavby </w:t>
      </w:r>
      <w:r w:rsidRPr="008D3E8B">
        <w:rPr>
          <w:rFonts w:ascii="Calibri" w:hAnsi="Calibri" w:cs="Calibri"/>
          <w:sz w:val="22"/>
          <w:szCs w:val="22"/>
        </w:rPr>
        <w:t>VO zajistí vytyčení všech stávajících inženýrských sítí jejich operativními správci a prokazatelně seznámí s jejich polohou pracovníky, kteří budou zemní práce provádět.</w:t>
      </w:r>
    </w:p>
    <w:p w14:paraId="09D8F8AF" w14:textId="77777777" w:rsidR="00EA4CED" w:rsidRPr="008D3E8B" w:rsidRDefault="00EA4CED" w:rsidP="00EA4CED">
      <w:pPr>
        <w:tabs>
          <w:tab w:val="num" w:pos="0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Zhotovitelem bude dodržen postup stanovený provozovatelem VO v zápise o ohlášení stavby a předání staveniště. V průběhu prací předá správci VO zápisem do stavebního deníku všechny práce, které budou následně zakryty (provedení nového základu stožáru, kabelové </w:t>
      </w:r>
      <w:r>
        <w:rPr>
          <w:rFonts w:ascii="Calibri" w:hAnsi="Calibri" w:cs="Calibri"/>
          <w:sz w:val="22"/>
          <w:szCs w:val="22"/>
        </w:rPr>
        <w:t>rýhy).</w:t>
      </w:r>
      <w:r w:rsidRPr="008D3E8B">
        <w:rPr>
          <w:rFonts w:ascii="Calibri" w:hAnsi="Calibri" w:cs="Calibri"/>
          <w:sz w:val="22"/>
          <w:szCs w:val="22"/>
        </w:rPr>
        <w:t xml:space="preserve"> </w:t>
      </w:r>
    </w:p>
    <w:p w14:paraId="63C9068C" w14:textId="77777777" w:rsidR="00EA4CED" w:rsidRPr="008D3E8B" w:rsidRDefault="00EA4CED" w:rsidP="00EA4CED">
      <w:pPr>
        <w:tabs>
          <w:tab w:val="num" w:pos="0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lastRenderedPageBreak/>
        <w:t>Po dokončení prací vyzve zhotovitel správce VO k technické prohlídce, která bude předcházet vlastnímu předání a převzetí prací. Případně zjištěné nedostatky nebo nedodělky budou nejdříve odstraněny a teprve po odsouhlasení všech bodů technické prohlídky bude svoláno vlastní přejímací řízení. Součástí dokladů stavby SO 401 bud</w:t>
      </w:r>
      <w:r>
        <w:rPr>
          <w:rFonts w:ascii="Calibri" w:hAnsi="Calibri" w:cs="Calibri"/>
          <w:sz w:val="22"/>
          <w:szCs w:val="22"/>
        </w:rPr>
        <w:t>ou dále uvedené doklady:</w:t>
      </w:r>
    </w:p>
    <w:p w14:paraId="320D12CF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>dokumentace skutečného provedení s datem, podpisem a razítkem zhotovitele,</w:t>
      </w:r>
    </w:p>
    <w:p w14:paraId="3A9762E5" w14:textId="77777777" w:rsidR="00EA4CED" w:rsidRPr="00C309F1" w:rsidRDefault="00EA4CED" w:rsidP="00EA4CED">
      <w:pPr>
        <w:tabs>
          <w:tab w:val="left" w:pos="709"/>
        </w:tabs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 xml:space="preserve">geodetické zaměření nového VO (CD ve formátu </w:t>
      </w:r>
      <w:proofErr w:type="spellStart"/>
      <w:r w:rsidRPr="00C309F1">
        <w:rPr>
          <w:rFonts w:ascii="Calibri" w:hAnsi="Calibri" w:cs="Calibri"/>
          <w:color w:val="000000"/>
          <w:sz w:val="22"/>
          <w:szCs w:val="22"/>
        </w:rPr>
        <w:t>dgn</w:t>
      </w:r>
      <w:proofErr w:type="spellEnd"/>
      <w:r w:rsidRPr="00C309F1">
        <w:rPr>
          <w:rFonts w:ascii="Calibri" w:hAnsi="Calibri" w:cs="Calibri"/>
          <w:color w:val="000000"/>
          <w:sz w:val="22"/>
          <w:szCs w:val="22"/>
        </w:rPr>
        <w:t xml:space="preserve">, </w:t>
      </w:r>
      <w:proofErr w:type="spellStart"/>
      <w:r w:rsidRPr="00C309F1">
        <w:rPr>
          <w:rFonts w:ascii="Calibri" w:hAnsi="Calibri" w:cs="Calibri"/>
          <w:color w:val="000000"/>
          <w:sz w:val="22"/>
          <w:szCs w:val="22"/>
        </w:rPr>
        <w:t>dxf</w:t>
      </w:r>
      <w:proofErr w:type="spellEnd"/>
      <w:r w:rsidRPr="00C309F1">
        <w:rPr>
          <w:rFonts w:ascii="Calibri" w:hAnsi="Calibri" w:cs="Calibri"/>
          <w:color w:val="000000"/>
          <w:sz w:val="22"/>
          <w:szCs w:val="22"/>
        </w:rPr>
        <w:t xml:space="preserve"> nebo </w:t>
      </w:r>
      <w:proofErr w:type="spellStart"/>
      <w:r w:rsidRPr="00C309F1">
        <w:rPr>
          <w:rFonts w:ascii="Calibri" w:hAnsi="Calibri" w:cs="Calibri"/>
          <w:color w:val="000000"/>
          <w:sz w:val="22"/>
          <w:szCs w:val="22"/>
        </w:rPr>
        <w:t>dwg</w:t>
      </w:r>
      <w:proofErr w:type="spellEnd"/>
      <w:r w:rsidRPr="00C309F1">
        <w:rPr>
          <w:rFonts w:ascii="Calibri" w:hAnsi="Calibri" w:cs="Calibri"/>
          <w:color w:val="000000"/>
          <w:sz w:val="22"/>
          <w:szCs w:val="22"/>
        </w:rPr>
        <w:t xml:space="preserve"> a tisk na podkladu katastrální mapy s uvedenými čísly parcel),</w:t>
      </w:r>
    </w:p>
    <w:p w14:paraId="5CB9C0E8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>zpráva o výchozí revizi VO s náležitostmi dle ČSN 33 1500 (33 2000-6-61),</w:t>
      </w:r>
    </w:p>
    <w:p w14:paraId="5D2A7CB1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 xml:space="preserve">protokol o světelně technickém měření osvětlovací soustavy – kontrolní pole </w:t>
      </w:r>
      <w:r>
        <w:rPr>
          <w:rFonts w:ascii="Calibri" w:hAnsi="Calibri" w:cs="Calibri"/>
          <w:color w:val="000000"/>
          <w:sz w:val="22"/>
          <w:szCs w:val="22"/>
        </w:rPr>
        <w:t>parkoviště</w:t>
      </w:r>
      <w:r w:rsidRPr="00C309F1">
        <w:rPr>
          <w:rFonts w:ascii="Calibri" w:hAnsi="Calibri" w:cs="Calibri"/>
          <w:color w:val="000000"/>
          <w:sz w:val="22"/>
          <w:szCs w:val="22"/>
        </w:rPr>
        <w:t xml:space="preserve"> v souladu s požadavky ČSN EN 13 201-4 – metody měření. </w:t>
      </w:r>
    </w:p>
    <w:p w14:paraId="41FE682B" w14:textId="77777777" w:rsidR="00EA4CED" w:rsidRPr="00C309F1" w:rsidRDefault="00EA4CED" w:rsidP="00EA4CED">
      <w:pPr>
        <w:pStyle w:val="Odstavecseseznamem"/>
        <w:spacing w:after="0" w:line="240" w:lineRule="auto"/>
        <w:ind w:left="284" w:right="-285" w:hanging="284"/>
        <w:jc w:val="both"/>
        <w:rPr>
          <w:rFonts w:cs="Calibri"/>
        </w:rPr>
      </w:pPr>
      <w:r w:rsidRPr="00C309F1">
        <w:rPr>
          <w:rFonts w:cs="Calibri"/>
          <w:color w:val="000000"/>
        </w:rPr>
        <w:t>-</w:t>
      </w:r>
      <w:r w:rsidRPr="00C309F1">
        <w:rPr>
          <w:rFonts w:cs="Calibri"/>
          <w:color w:val="000000"/>
        </w:rPr>
        <w:tab/>
        <w:t xml:space="preserve">atesty, prohlášení o vlastnostech výrobků, návody k obsluze a údržbě zařízení VO, </w:t>
      </w:r>
      <w:r w:rsidRPr="00C309F1">
        <w:rPr>
          <w:rFonts w:cs="Calibri"/>
        </w:rPr>
        <w:t>dodací list svítidla (specifikace svítidla a doba záruky),</w:t>
      </w:r>
    </w:p>
    <w:p w14:paraId="57EF199A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>digitální fotodokumentace stavby (zemní práce a dokončené dílo – číslované stožáry se svítidly),</w:t>
      </w:r>
    </w:p>
    <w:p w14:paraId="0AB61CF0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>kopie listů stavebního deníku (týkající se stavby VO),</w:t>
      </w:r>
    </w:p>
    <w:p w14:paraId="0780DD8F" w14:textId="77777777" w:rsidR="00EA4CED" w:rsidRPr="00C309F1" w:rsidRDefault="00EA4CED" w:rsidP="00EA4CED">
      <w:pPr>
        <w:ind w:left="284" w:right="-285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309F1">
        <w:rPr>
          <w:rFonts w:ascii="Calibri" w:hAnsi="Calibri" w:cs="Calibri"/>
          <w:color w:val="000000"/>
          <w:sz w:val="22"/>
          <w:szCs w:val="22"/>
        </w:rPr>
        <w:t>-</w:t>
      </w:r>
      <w:r w:rsidRPr="00C309F1">
        <w:rPr>
          <w:rFonts w:ascii="Calibri" w:hAnsi="Calibri" w:cs="Calibri"/>
          <w:color w:val="000000"/>
          <w:sz w:val="22"/>
          <w:szCs w:val="22"/>
        </w:rPr>
        <w:tab/>
        <w:t>protokol o předání a převzetí prací (PO2)</w:t>
      </w:r>
      <w:r>
        <w:rPr>
          <w:rFonts w:ascii="Calibri" w:hAnsi="Calibri" w:cs="Calibri"/>
          <w:color w:val="000000"/>
          <w:sz w:val="22"/>
          <w:szCs w:val="22"/>
        </w:rPr>
        <w:t xml:space="preserve"> s uvedením počtu nových světelných míst – 1 ks</w:t>
      </w:r>
    </w:p>
    <w:p w14:paraId="75C07D87" w14:textId="77777777" w:rsidR="00EA4CED" w:rsidRPr="00C309F1" w:rsidRDefault="00EA4CED" w:rsidP="00EA4CED">
      <w:pPr>
        <w:rPr>
          <w:rFonts w:ascii="Calibri" w:hAnsi="Calibri" w:cs="Calibri"/>
          <w:sz w:val="22"/>
          <w:szCs w:val="22"/>
        </w:rPr>
      </w:pPr>
    </w:p>
    <w:p w14:paraId="749CA84A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 xml:space="preserve">Realizací stavby nedojde k žádným negativním vlivům na životní prostředí. Při kladení kabelových vedení VO musí být dodrženy všechny podmínky dané normou ČSN 33 2000-5-52 (kapitola 52 – výběr soustav a stavba vedení) a ČSN 73 6005 Prostorová úprava vedení. Po provedení prací bude provedeno geodetické zaměření skutečného uložení kabelů VO. Z hlediska životního prostředí je nutné dbát zejména při práci montážních </w:t>
      </w:r>
      <w:proofErr w:type="gramStart"/>
      <w:r w:rsidRPr="008D3E8B">
        <w:rPr>
          <w:rFonts w:ascii="Calibri" w:hAnsi="Calibri" w:cs="Calibri"/>
          <w:sz w:val="22"/>
          <w:szCs w:val="22"/>
        </w:rPr>
        <w:t>mechanizmů</w:t>
      </w:r>
      <w:proofErr w:type="gramEnd"/>
      <w:r w:rsidRPr="008D3E8B">
        <w:rPr>
          <w:rFonts w:ascii="Calibri" w:hAnsi="Calibri" w:cs="Calibri"/>
          <w:sz w:val="22"/>
          <w:szCs w:val="22"/>
        </w:rPr>
        <w:t xml:space="preserve"> na zamezení případných úniků ropných látek, úniky hydraulických kapalin apod., zabránění poškození veřejné zeleně, keřů, stromů pohybem montážních vozidel. </w:t>
      </w:r>
    </w:p>
    <w:p w14:paraId="38F10FA7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</w:p>
    <w:p w14:paraId="12F23B62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Stavba nevyžaduje zvláštní opatření z hlediska požární ochrany. Při provádění stavby zajistí zhotovitel dodržování příslušných bezpečnostních předpisů a zajistí odborný dozor. Bezpečnostní předpisy musí být ze strany dodavatele zajišťovány jak pro vlastní pracovníky, tak i pro veřejnost. Bezpečnost práce spadá plně do kompetence zhotovitele stavby.</w:t>
      </w:r>
    </w:p>
    <w:p w14:paraId="71DCDD8A" w14:textId="77777777" w:rsidR="00EA4CED" w:rsidRPr="008D3E8B" w:rsidRDefault="00EA4CED" w:rsidP="00EA4CED">
      <w:pPr>
        <w:jc w:val="both"/>
        <w:rPr>
          <w:rFonts w:ascii="Calibri" w:hAnsi="Calibri" w:cs="Calibri"/>
          <w:sz w:val="22"/>
          <w:szCs w:val="22"/>
        </w:rPr>
      </w:pPr>
    </w:p>
    <w:p w14:paraId="412BE727" w14:textId="77777777" w:rsidR="00EA4CED" w:rsidRPr="008D3E8B" w:rsidRDefault="00EA4CED" w:rsidP="00EA4CED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8D3E8B">
        <w:rPr>
          <w:rFonts w:ascii="Calibri" w:hAnsi="Calibri" w:cs="Calibri"/>
          <w:b/>
          <w:sz w:val="22"/>
          <w:szCs w:val="22"/>
        </w:rPr>
        <w:t>řešení komunikací a ploch z hlediska přístupu a užívání osobami s omezenou schopností pohybu a orientace (</w:t>
      </w:r>
      <w:proofErr w:type="spellStart"/>
      <w:r w:rsidRPr="008D3E8B">
        <w:rPr>
          <w:rFonts w:ascii="Calibri" w:hAnsi="Calibri" w:cs="Calibri"/>
          <w:b/>
          <w:sz w:val="22"/>
          <w:szCs w:val="22"/>
        </w:rPr>
        <w:t>vyhl</w:t>
      </w:r>
      <w:proofErr w:type="spellEnd"/>
      <w:r w:rsidRPr="008D3E8B">
        <w:rPr>
          <w:rFonts w:ascii="Calibri" w:hAnsi="Calibri" w:cs="Calibri"/>
          <w:b/>
          <w:sz w:val="22"/>
          <w:szCs w:val="22"/>
        </w:rPr>
        <w:t>. č. 398/2009 Sb.)</w:t>
      </w:r>
    </w:p>
    <w:p w14:paraId="4C4F8BEC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22B7C4E3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  <w:r w:rsidRPr="008D3E8B">
        <w:rPr>
          <w:rFonts w:ascii="Calibri" w:hAnsi="Calibri" w:cs="Calibri"/>
          <w:sz w:val="22"/>
          <w:szCs w:val="22"/>
        </w:rPr>
        <w:t>Umístění stožáru je mimo chodník a parkoviště v zeleni a nemá vliv na předmětnou problematiku.</w:t>
      </w:r>
    </w:p>
    <w:p w14:paraId="7F08FE5F" w14:textId="77777777" w:rsidR="00EA4CED" w:rsidRPr="008D3E8B" w:rsidRDefault="00EA4CED" w:rsidP="00EA4CED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762268A1" w14:textId="77777777" w:rsidR="00972CCC" w:rsidRDefault="00972CCC"/>
    <w:sectPr w:rsidR="00972CCC" w:rsidSect="000F120B">
      <w:headerReference w:type="default" r:id="rId8"/>
      <w:footerReference w:type="default" r:id="rId9"/>
      <w:footerReference w:type="first" r:id="rId10"/>
      <w:footnotePr>
        <w:pos w:val="beneathText"/>
      </w:footnotePr>
      <w:pgSz w:w="11905" w:h="16837"/>
      <w:pgMar w:top="1134" w:right="1134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5BC6" w14:textId="77777777" w:rsidR="00B53FA4" w:rsidRDefault="00B53FA4">
      <w:r>
        <w:separator/>
      </w:r>
    </w:p>
  </w:endnote>
  <w:endnote w:type="continuationSeparator" w:id="0">
    <w:p w14:paraId="4FEA44EC" w14:textId="77777777" w:rsidR="00B53FA4" w:rsidRDefault="00B5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DA39" w14:textId="4DC38761" w:rsidR="00004BF0" w:rsidRDefault="00EA4CED">
    <w:pPr>
      <w:pStyle w:val="Zpat"/>
      <w:rPr>
        <w:rFonts w:ascii="Arial" w:hAnsi="Arial"/>
        <w:color w:val="333333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136E69" wp14:editId="4F7B71A4">
              <wp:simplePos x="0" y="0"/>
              <wp:positionH relativeFrom="column">
                <wp:posOffset>-36195</wp:posOffset>
              </wp:positionH>
              <wp:positionV relativeFrom="paragraph">
                <wp:posOffset>67945</wp:posOffset>
              </wp:positionV>
              <wp:extent cx="5829300" cy="0"/>
              <wp:effectExtent l="6985" t="7620" r="12065" b="1143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7DDB17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5.35pt" to="456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" strokeweight=".35mm"/>
          </w:pict>
        </mc:Fallback>
      </mc:AlternateContent>
    </w:r>
  </w:p>
  <w:p w14:paraId="26F5AA1B" w14:textId="77777777" w:rsidR="00004BF0" w:rsidRDefault="00EA4CED" w:rsidP="00EA3A3F">
    <w:pPr>
      <w:pStyle w:val="Nadpis2"/>
      <w:numPr>
        <w:ilvl w:val="0"/>
        <w:numId w:val="0"/>
      </w:numPr>
      <w:tabs>
        <w:tab w:val="right" w:pos="9063"/>
      </w:tabs>
      <w:rPr>
        <w:b w:val="0"/>
        <w:color w:val="333333"/>
        <w:sz w:val="16"/>
      </w:rPr>
    </w:pPr>
    <w:r>
      <w:rPr>
        <w:b w:val="0"/>
        <w:color w:val="333333"/>
        <w:sz w:val="16"/>
      </w:rPr>
      <w:t>Vypracoval: Ing. Ondřej Bojko</w:t>
    </w:r>
    <w:r>
      <w:rPr>
        <w:b w:val="0"/>
        <w:color w:val="333333"/>
        <w:sz w:val="16"/>
      </w:rPr>
      <w:tab/>
    </w:r>
    <w:r>
      <w:rPr>
        <w:b w:val="0"/>
        <w:color w:val="333333"/>
        <w:sz w:val="16"/>
        <w:szCs w:val="16"/>
      </w:rPr>
      <w:t xml:space="preserve">Strana </w:t>
    </w:r>
    <w:r>
      <w:rPr>
        <w:b w:val="0"/>
        <w:color w:val="333333"/>
        <w:sz w:val="16"/>
        <w:szCs w:val="16"/>
      </w:rPr>
      <w:fldChar w:fldCharType="begin"/>
    </w:r>
    <w:r>
      <w:rPr>
        <w:b w:val="0"/>
        <w:color w:val="333333"/>
        <w:sz w:val="16"/>
        <w:szCs w:val="16"/>
      </w:rPr>
      <w:instrText xml:space="preserve"> PAGE \*ARABIC </w:instrText>
    </w:r>
    <w:r>
      <w:rPr>
        <w:b w:val="0"/>
        <w:color w:val="333333"/>
        <w:sz w:val="16"/>
        <w:szCs w:val="16"/>
      </w:rPr>
      <w:fldChar w:fldCharType="separate"/>
    </w:r>
    <w:r>
      <w:rPr>
        <w:b w:val="0"/>
        <w:noProof/>
        <w:color w:val="333333"/>
        <w:sz w:val="16"/>
        <w:szCs w:val="16"/>
      </w:rPr>
      <w:t>3</w:t>
    </w:r>
    <w:r>
      <w:rPr>
        <w:b w:val="0"/>
        <w:color w:val="333333"/>
        <w:sz w:val="16"/>
        <w:szCs w:val="16"/>
      </w:rPr>
      <w:fldChar w:fldCharType="end"/>
    </w:r>
    <w:r>
      <w:rPr>
        <w:b w:val="0"/>
        <w:color w:val="333333"/>
        <w:sz w:val="16"/>
        <w:szCs w:val="16"/>
      </w:rPr>
      <w:t xml:space="preserve"> (</w:t>
    </w:r>
    <w:r w:rsidRPr="00EA3A3F">
      <w:rPr>
        <w:b w:val="0"/>
        <w:color w:val="333333"/>
        <w:sz w:val="16"/>
        <w:szCs w:val="16"/>
      </w:rPr>
      <w:t xml:space="preserve">celkem </w:t>
    </w:r>
    <w:r>
      <w:rPr>
        <w:b w:val="0"/>
        <w:color w:val="333333"/>
        <w:sz w:val="16"/>
        <w:szCs w:val="16"/>
      </w:rPr>
      <w:t>4</w:t>
    </w:r>
    <w:r>
      <w:rPr>
        <w:b w:val="0"/>
        <w:color w:val="333333"/>
        <w:sz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1242" w14:textId="77777777" w:rsidR="00004BF0" w:rsidRDefault="00B53FA4">
    <w:pPr>
      <w:pStyle w:val="Zpat"/>
    </w:pPr>
  </w:p>
  <w:p w14:paraId="78C85141" w14:textId="77777777" w:rsidR="00004BF0" w:rsidRDefault="00B53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8716" w14:textId="77777777" w:rsidR="00B53FA4" w:rsidRDefault="00B53FA4">
      <w:r>
        <w:separator/>
      </w:r>
    </w:p>
  </w:footnote>
  <w:footnote w:type="continuationSeparator" w:id="0">
    <w:p w14:paraId="525A7EE6" w14:textId="77777777" w:rsidR="00B53FA4" w:rsidRDefault="00B53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7B33" w14:textId="77777777" w:rsidR="00004BF0" w:rsidRDefault="00B53FA4" w:rsidP="00EA4CED">
    <w:pPr>
      <w:pStyle w:val="Nadpis3"/>
      <w:numPr>
        <w:ilvl w:val="2"/>
        <w:numId w:val="1"/>
      </w:numPr>
      <w:tabs>
        <w:tab w:val="clear" w:pos="0"/>
        <w:tab w:val="num" w:pos="36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AC5842"/>
    <w:multiLevelType w:val="multilevel"/>
    <w:tmpl w:val="2D6CF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9C162E"/>
    <w:multiLevelType w:val="hybridMultilevel"/>
    <w:tmpl w:val="2746068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ED"/>
    <w:rsid w:val="00972CCC"/>
    <w:rsid w:val="00B43CAF"/>
    <w:rsid w:val="00B53FA4"/>
    <w:rsid w:val="00EA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8F81A"/>
  <w15:chartTrackingRefBased/>
  <w15:docId w15:val="{226737C3-0A7F-493D-B831-D3DF25C1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C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EA4CED"/>
    <w:pPr>
      <w:keepNext/>
      <w:numPr>
        <w:ilvl w:val="1"/>
        <w:numId w:val="3"/>
      </w:numPr>
      <w:tabs>
        <w:tab w:val="left" w:pos="1995"/>
      </w:tabs>
      <w:ind w:left="1995"/>
      <w:outlineLvl w:val="1"/>
    </w:pPr>
    <w:rPr>
      <w:rFonts w:ascii="Arial" w:hAnsi="Arial"/>
      <w:b/>
      <w:color w:val="FF0000"/>
      <w:sz w:val="24"/>
    </w:rPr>
  </w:style>
  <w:style w:type="paragraph" w:styleId="Nadpis3">
    <w:name w:val="heading 3"/>
    <w:basedOn w:val="Normln"/>
    <w:next w:val="Normln"/>
    <w:link w:val="Nadpis3Char"/>
    <w:qFormat/>
    <w:rsid w:val="00EA4CED"/>
    <w:pPr>
      <w:keepNext/>
      <w:numPr>
        <w:ilvl w:val="2"/>
        <w:numId w:val="3"/>
      </w:numPr>
      <w:ind w:left="1995"/>
      <w:jc w:val="both"/>
      <w:outlineLvl w:val="2"/>
    </w:pPr>
    <w:rPr>
      <w:rFonts w:ascii="Arial" w:hAnsi="Arial"/>
      <w:b/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4CED"/>
    <w:rPr>
      <w:rFonts w:ascii="Arial" w:eastAsia="Times New Roman" w:hAnsi="Arial" w:cs="Times New Roman"/>
      <w:b/>
      <w:color w:val="FF0000"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EA4CED"/>
    <w:rPr>
      <w:rFonts w:ascii="Arial" w:eastAsia="Times New Roman" w:hAnsi="Arial" w:cs="Times New Roman"/>
      <w:b/>
      <w:color w:val="FF0000"/>
      <w:sz w:val="24"/>
      <w:szCs w:val="20"/>
      <w:lang w:eastAsia="ar-SA"/>
    </w:rPr>
  </w:style>
  <w:style w:type="paragraph" w:styleId="Zpat">
    <w:name w:val="footer"/>
    <w:basedOn w:val="Normln"/>
    <w:link w:val="ZpatChar"/>
    <w:rsid w:val="00EA4CED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rsid w:val="00EA4C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EA4CE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rsid w:val="00EA4CED"/>
    <w:pPr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  <w:lang w:eastAsia="cs-CZ"/>
    </w:rPr>
  </w:style>
  <w:style w:type="paragraph" w:customStyle="1" w:styleId="Zkladntextodsazen21">
    <w:name w:val="Základní text odsazený 21"/>
    <w:basedOn w:val="Normln"/>
    <w:rsid w:val="00EA4CED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cs-CZ"/>
    </w:rPr>
  </w:style>
  <w:style w:type="paragraph" w:customStyle="1" w:styleId="Texttabulky">
    <w:name w:val="Text tabulky"/>
    <w:basedOn w:val="Normln"/>
    <w:rsid w:val="00EA4CED"/>
    <w:pPr>
      <w:spacing w:before="60" w:after="60"/>
    </w:pPr>
    <w:rPr>
      <w:rFonts w:ascii="Arial" w:hAnsi="Arial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1073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Bojko</dc:creator>
  <cp:keywords/>
  <dc:description/>
  <cp:lastModifiedBy>Ondrej Bojko</cp:lastModifiedBy>
  <cp:revision>2</cp:revision>
  <dcterms:created xsi:type="dcterms:W3CDTF">2021-10-14T05:27:00Z</dcterms:created>
  <dcterms:modified xsi:type="dcterms:W3CDTF">2021-10-14T08:44:00Z</dcterms:modified>
</cp:coreProperties>
</file>